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4207"/>
      </w:tblGrid>
      <w:tr w:rsidR="00D07D01" w:rsidRPr="009C3D5A" w:rsidTr="003F4E66">
        <w:trPr>
          <w:trHeight w:val="963"/>
        </w:trPr>
        <w:tc>
          <w:tcPr>
            <w:tcW w:w="5024" w:type="dxa"/>
            <w:vAlign w:val="center"/>
          </w:tcPr>
          <w:p w:rsidR="00D07D01" w:rsidRPr="009C3D5A" w:rsidRDefault="00E34DEB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E5094">
              <w:rPr>
                <w:rFonts w:asciiTheme="majorHAnsi" w:eastAsiaTheme="majorEastAsia" w:hAnsiTheme="majorHAnsi" w:cstheme="majorBidi"/>
                <w:sz w:val="36"/>
                <w:szCs w:val="36"/>
              </w:rPr>
              <w:t>HAZİRAN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207" w:type="dxa"/>
          </w:tcPr>
          <w:p w:rsidR="00D07D01" w:rsidRPr="009C3D5A" w:rsidRDefault="00CB0A4D" w:rsidP="00BE509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</w:t>
            </w:r>
            <w:r w:rsidR="00BE509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BE509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Temmuz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1F5C2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3873B99F" wp14:editId="4AA4E453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BE5094" w:rsidP="008B246F">
      <w:pPr>
        <w:jc w:val="both"/>
        <w:rPr>
          <w:b/>
        </w:rPr>
      </w:pPr>
      <w:r>
        <w:rPr>
          <w:b/>
        </w:rPr>
        <w:t>Haziran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Dış ticaret istatistiklerine ilişkin veriler Türkiye İstati</w:t>
      </w:r>
      <w:r w:rsidR="00A13941" w:rsidRPr="009C3D5A">
        <w:rPr>
          <w:b/>
        </w:rPr>
        <w:t>stik Kurumu (TÜİK) tarafından 3</w:t>
      </w:r>
      <w:r>
        <w:rPr>
          <w:b/>
        </w:rPr>
        <w:t>1</w:t>
      </w:r>
      <w:r w:rsidR="00A13941" w:rsidRPr="009C3D5A">
        <w:rPr>
          <w:b/>
        </w:rPr>
        <w:t xml:space="preserve"> </w:t>
      </w:r>
      <w:r>
        <w:rPr>
          <w:b/>
        </w:rPr>
        <w:t>Temmuz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BE5094" w:rsidP="008B246F">
      <w:pPr>
        <w:jc w:val="both"/>
      </w:pPr>
      <w:r>
        <w:t>Haziran</w:t>
      </w:r>
      <w:r w:rsidR="00764636" w:rsidRPr="009C3D5A">
        <w:t xml:space="preserve"> ayında Türkiye’nin </w:t>
      </w:r>
      <w:r w:rsidR="00672626" w:rsidRPr="009C3D5A">
        <w:t xml:space="preserve">ihracatı </w:t>
      </w:r>
      <w:r w:rsidR="00764636" w:rsidRPr="009C3D5A">
        <w:t>bir önceki yılın aynı ayına göre yü</w:t>
      </w:r>
      <w:r w:rsidR="00DB20D7">
        <w:t xml:space="preserve">zde </w:t>
      </w:r>
      <w:r w:rsidR="00676E49">
        <w:t>2,</w:t>
      </w:r>
      <w:r>
        <w:t>3</w:t>
      </w:r>
      <w:r w:rsidR="00676E49">
        <w:t xml:space="preserve"> artarak 13</w:t>
      </w:r>
      <w:r w:rsidR="00764636" w:rsidRPr="009C3D5A">
        <w:t xml:space="preserve"> milyar</w:t>
      </w:r>
      <w:r>
        <w:t xml:space="preserve"> </w:t>
      </w:r>
      <w:r w:rsidR="00676E49">
        <w:t>1</w:t>
      </w:r>
      <w:r>
        <w:t>6</w:t>
      </w:r>
      <w:r w:rsidR="00676E49">
        <w:t>6 milyon</w:t>
      </w:r>
      <w:r w:rsidR="00466EE8">
        <w:t xml:space="preserve"> dolara yükseldi</w:t>
      </w:r>
      <w:r w:rsidR="00764636" w:rsidRPr="009C3D5A">
        <w:t xml:space="preserve">. </w:t>
      </w:r>
      <w:r>
        <w:t>Haziran</w:t>
      </w:r>
      <w:r w:rsidR="002157EE" w:rsidRPr="009C3D5A">
        <w:t xml:space="preserve"> ayı </w:t>
      </w:r>
      <w:r w:rsidR="000E09A3">
        <w:t>ithalatı</w:t>
      </w:r>
      <w:r w:rsidR="00DB20D7">
        <w:t xml:space="preserve"> </w:t>
      </w:r>
      <w:r w:rsidR="00466EE8">
        <w:t>ise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 w:rsidR="00676E49">
        <w:t>1</w:t>
      </w:r>
      <w:r w:rsidR="00DB20D7">
        <w:t>,</w:t>
      </w:r>
      <w:r>
        <w:t>5 azalarak 19</w:t>
      </w:r>
      <w:r w:rsidR="00DB20D7">
        <w:t xml:space="preserve"> milyar</w:t>
      </w:r>
      <w:r>
        <w:t xml:space="preserve"> 177</w:t>
      </w:r>
      <w:r w:rsidR="00676E49">
        <w:t xml:space="preserve"> milyon</w:t>
      </w:r>
      <w:r w:rsidR="00466EE8">
        <w:t xml:space="preserve"> dolara geriledi</w:t>
      </w:r>
      <w:r w:rsidR="002157EE" w:rsidRPr="009C3D5A">
        <w:t>.</w:t>
      </w:r>
      <w:r w:rsidR="00B61CAE" w:rsidRPr="009C3D5A">
        <w:t xml:space="preserve"> </w:t>
      </w:r>
      <w:r w:rsidR="000E09A3">
        <w:t xml:space="preserve">Buna göre </w:t>
      </w:r>
      <w:r w:rsidR="005C1EF8">
        <w:t>Haziran</w:t>
      </w:r>
      <w:r w:rsidR="00DB20D7">
        <w:t xml:space="preserve"> ayı dış ticaret açığı,</w:t>
      </w:r>
      <w:r w:rsidR="008B246F" w:rsidRPr="009C3D5A">
        <w:t xml:space="preserve"> yüzde </w:t>
      </w:r>
      <w:r>
        <w:t>9,1</w:t>
      </w:r>
      <w:r w:rsidR="00024E59" w:rsidRPr="009C3D5A">
        <w:t xml:space="preserve"> </w:t>
      </w:r>
      <w:r>
        <w:t>azalarak</w:t>
      </w:r>
      <w:r w:rsidR="00024E59" w:rsidRPr="009C3D5A">
        <w:t xml:space="preserve"> </w:t>
      </w:r>
      <w:r>
        <w:t>6</w:t>
      </w:r>
      <w:r w:rsidR="00024E59" w:rsidRPr="009C3D5A">
        <w:t xml:space="preserve"> milyar </w:t>
      </w:r>
      <w:r>
        <w:t>11</w:t>
      </w:r>
      <w:r w:rsidR="00DB20D7">
        <w:t xml:space="preserve"> milyon dolar</w:t>
      </w:r>
      <w:r w:rsidR="00F073B5">
        <w:t xml:space="preserve"> olarak gerçekleşti.</w:t>
      </w:r>
      <w:r w:rsidR="00676E49">
        <w:t xml:space="preserve"> </w:t>
      </w:r>
      <w:r>
        <w:t>2016 Haziran ayında %66,1</w:t>
      </w:r>
      <w:r w:rsidR="0023568E">
        <w:t xml:space="preserve"> olan ihracatın itha</w:t>
      </w:r>
      <w:r>
        <w:t>latı karşılama oranı ise 2017 Haziran ayında %68,7</w:t>
      </w:r>
      <w:r w:rsidR="0023568E">
        <w:t>’</w:t>
      </w:r>
      <w:r>
        <w:t>y</w:t>
      </w:r>
      <w:r w:rsidR="0023568E">
        <w:t xml:space="preserve">e </w:t>
      </w:r>
      <w:r>
        <w:t>yükseldi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B15E4C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Ocak-Haziran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B15E4C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D95BC6E" wp14:editId="67BDCE0A">
            <wp:extent cx="5819775" cy="21145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B15E4C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Ocak-H</w:t>
      </w:r>
      <w:r>
        <w:rPr>
          <w:rFonts w:eastAsia="Times New Roman" w:cs="Times New Roman"/>
          <w:b/>
          <w:bCs/>
          <w:kern w:val="36"/>
          <w:sz w:val="24"/>
          <w:szCs w:val="24"/>
        </w:rPr>
        <w:t>a</w:t>
      </w:r>
      <w:r w:rsidR="00B15E4C">
        <w:rPr>
          <w:rFonts w:eastAsia="Times New Roman" w:cs="Times New Roman"/>
          <w:b/>
          <w:bCs/>
          <w:kern w:val="36"/>
          <w:sz w:val="24"/>
          <w:szCs w:val="24"/>
        </w:rPr>
        <w:t>ziran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15E4C" w:rsidRDefault="00B15E4C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466EE8">
        <w:rPr>
          <w:noProof/>
          <w:shd w:val="clear" w:color="auto" w:fill="002060"/>
          <w:lang w:val="en-US" w:eastAsia="en-US"/>
        </w:rPr>
        <w:drawing>
          <wp:inline distT="0" distB="0" distL="0" distR="0" wp14:anchorId="369EC6F5" wp14:editId="04436BAA">
            <wp:extent cx="5819775" cy="2276475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095CBC" w:rsidRPr="008D17ED" w:rsidRDefault="00095CBC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501781" w:rsidRDefault="00E86C2E" w:rsidP="00CE7503">
      <w:pPr>
        <w:spacing w:after="0" w:line="240" w:lineRule="auto"/>
      </w:pPr>
      <w:r w:rsidRPr="00E86C2E">
        <w:t>İhracat rakamları 2017 içer</w:t>
      </w:r>
      <w:r w:rsidR="00CE5130">
        <w:t>isinde dalgalı bir seyir izlemektedir</w:t>
      </w:r>
      <w:r w:rsidRPr="00E86C2E">
        <w:t>.</w:t>
      </w:r>
      <w:r w:rsidR="00CE5130">
        <w:t xml:space="preserve"> B</w:t>
      </w:r>
      <w:r>
        <w:t>ir önceki yı</w:t>
      </w:r>
      <w:r w:rsidR="00CE5130">
        <w:t>lın aynı ayına göre yüzde 2,3</w:t>
      </w:r>
      <w:r>
        <w:t xml:space="preserve"> artış gösteren ihracat</w:t>
      </w:r>
      <w:r w:rsidR="008D17ED">
        <w:t>,</w:t>
      </w:r>
      <w:r>
        <w:t xml:space="preserve"> </w:t>
      </w:r>
      <w:r w:rsidR="00CE5130">
        <w:t>b</w:t>
      </w:r>
      <w:r w:rsidR="00F073B5">
        <w:t xml:space="preserve">ir önceki aya göre </w:t>
      </w:r>
      <w:r w:rsidR="00CE5130">
        <w:t>yüzde 3,2 azalış göstererek 2017 Haziran ayında 13,17</w:t>
      </w:r>
      <w:r>
        <w:t xml:space="preserve"> milyar dolara </w:t>
      </w:r>
      <w:r w:rsidR="00CE5130">
        <w:t>geriledi</w:t>
      </w:r>
      <w:r>
        <w:t xml:space="preserve">. </w:t>
      </w:r>
      <w:r w:rsidR="00DB359A" w:rsidRPr="00E86C2E">
        <w:t>2017</w:t>
      </w:r>
      <w:r w:rsidR="00DB359A">
        <w:t xml:space="preserve"> yılına düş</w:t>
      </w:r>
      <w:r>
        <w:t>üşle başlayan ithalat rakamları ise</w:t>
      </w:r>
      <w:r w:rsidR="00DB359A">
        <w:t xml:space="preserve"> yıl içinde </w:t>
      </w:r>
      <w:r>
        <w:t xml:space="preserve">yükseliş göstermiş </w:t>
      </w:r>
      <w:r>
        <w:lastRenderedPageBreak/>
        <w:t>ve</w:t>
      </w:r>
      <w:r w:rsidR="00DB359A">
        <w:t xml:space="preserve"> Mayıs ayında yılın</w:t>
      </w:r>
      <w:r w:rsidR="00CE5130">
        <w:t xml:space="preserve"> en yüksek seviyesine ulaşmıştı</w:t>
      </w:r>
      <w:r w:rsidR="00DB359A">
        <w:t xml:space="preserve">. </w:t>
      </w:r>
      <w:r w:rsidR="00CE5130">
        <w:t xml:space="preserve">Fakat </w:t>
      </w:r>
      <w:r w:rsidR="00F073B5">
        <w:t xml:space="preserve">bir önceki aya göre yüzde 8,3; geçen yılın aynı dönemine göre ise yüzde 1,5 azalış gösteren ithalat, 2017 Haziran’da 19,18 milyar dolara geriledi. </w:t>
      </w:r>
    </w:p>
    <w:p w:rsidR="00F073B5" w:rsidRDefault="00F073B5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Pr="006006DA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BC608C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</w:t>
      </w:r>
      <w:r w:rsidR="00E44499">
        <w:rPr>
          <w:rFonts w:eastAsia="Times New Roman" w:cs="Times New Roman"/>
          <w:b/>
          <w:bCs/>
          <w:kern w:val="36"/>
          <w:sz w:val="24"/>
          <w:szCs w:val="24"/>
        </w:rPr>
        <w:t>milyar</w:t>
      </w:r>
      <w:r w:rsidR="006006DA">
        <w:rPr>
          <w:rFonts w:eastAsia="Times New Roman" w:cs="Times New Roman"/>
          <w:b/>
          <w:bCs/>
          <w:kern w:val="36"/>
          <w:sz w:val="24"/>
          <w:szCs w:val="24"/>
        </w:rPr>
        <w:t xml:space="preserve"> $  (2017 </w:t>
      </w:r>
      <w:r w:rsidR="0020408B">
        <w:rPr>
          <w:rFonts w:eastAsia="Times New Roman" w:cs="Times New Roman"/>
          <w:b/>
          <w:bCs/>
          <w:kern w:val="36"/>
          <w:sz w:val="24"/>
          <w:szCs w:val="24"/>
        </w:rPr>
        <w:t>Haziran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82"/>
        <w:gridCol w:w="1843"/>
        <w:gridCol w:w="1507"/>
        <w:gridCol w:w="478"/>
        <w:gridCol w:w="567"/>
        <w:gridCol w:w="1842"/>
        <w:gridCol w:w="1560"/>
      </w:tblGrid>
      <w:tr w:rsidR="005C1EF8" w:rsidRPr="0020408B" w:rsidTr="005C1EF8">
        <w:trPr>
          <w:trHeight w:val="25"/>
        </w:trPr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Sıra</w:t>
            </w:r>
            <w:proofErr w:type="spellEnd"/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Ülke</w:t>
            </w:r>
            <w:proofErr w:type="spellEnd"/>
          </w:p>
        </w:tc>
        <w:tc>
          <w:tcPr>
            <w:tcW w:w="150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Sıra</w:t>
            </w:r>
            <w:proofErr w:type="spellEnd"/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Ülke</w:t>
            </w:r>
            <w:proofErr w:type="spellEnd"/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Almanya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Çin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1,92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BAE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Almanya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1,64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ABD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0,89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Rusya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1,39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İngiltere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ABD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1,06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İtalya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İtalya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0,96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Irak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İsviçre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0,79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Fransa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İran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0,62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İspanya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Fransa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0,61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Hollanda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BAE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0,56</w:t>
            </w:r>
          </w:p>
        </w:tc>
      </w:tr>
      <w:tr w:rsidR="005C1EF8" w:rsidRPr="0020408B" w:rsidTr="005C1EF8">
        <w:trPr>
          <w:trHeight w:val="25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İsrail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İngiltere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0,53</w:t>
            </w:r>
          </w:p>
        </w:tc>
      </w:tr>
      <w:tr w:rsidR="005C1EF8" w:rsidRPr="0020408B" w:rsidTr="005C1EF8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13,17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19,18</w:t>
            </w:r>
          </w:p>
        </w:tc>
      </w:tr>
    </w:tbl>
    <w:p w:rsidR="00EB3D95" w:rsidRDefault="00EB3D95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D074EA" w:rsidRDefault="008D17ED" w:rsidP="00E27E57">
      <w:pPr>
        <w:jc w:val="both"/>
      </w:pPr>
      <w:r>
        <w:t xml:space="preserve">Türkiye, </w:t>
      </w:r>
      <w:r w:rsidR="00CC376F" w:rsidRPr="009C3D5A">
        <w:t>201</w:t>
      </w:r>
      <w:r w:rsidR="006006DA">
        <w:t>7</w:t>
      </w:r>
      <w:r w:rsidR="00CC376F" w:rsidRPr="009C3D5A">
        <w:t xml:space="preserve"> </w:t>
      </w:r>
      <w:r w:rsidR="00E44499">
        <w:t>Haziran</w:t>
      </w:r>
      <w:r>
        <w:t xml:space="preserve"> 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E44499">
        <w:t>,3</w:t>
      </w:r>
      <w:r w:rsidR="00CC376F" w:rsidRPr="009C3D5A">
        <w:t xml:space="preserve"> mily</w:t>
      </w:r>
      <w:r w:rsidR="00E44499">
        <w:t>ar</w:t>
      </w:r>
      <w:r w:rsidR="00CC376F" w:rsidRPr="009C3D5A">
        <w:t xml:space="preserve">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E44499">
        <w:t>0,9</w:t>
      </w:r>
      <w:r w:rsidR="006E7CD2" w:rsidRPr="009C3D5A">
        <w:t xml:space="preserve"> </w:t>
      </w:r>
      <w:r>
        <w:t>mily</w:t>
      </w:r>
      <w:r w:rsidR="00E44499">
        <w:t>ar</w:t>
      </w:r>
      <w:r w:rsidR="006E7CD2" w:rsidRPr="009C3D5A">
        <w:t xml:space="preserve"> dolar ile</w:t>
      </w:r>
      <w:r w:rsidR="006006DA">
        <w:t xml:space="preserve"> Birleşik Arap Emirlikleri</w:t>
      </w:r>
      <w:r w:rsidR="00955246" w:rsidRPr="009C3D5A">
        <w:t xml:space="preserve">, </w:t>
      </w:r>
      <w:r w:rsidR="00E44499">
        <w:t>0,89</w:t>
      </w:r>
      <w:r w:rsidR="006E7CD2" w:rsidRPr="009C3D5A">
        <w:t xml:space="preserve"> </w:t>
      </w:r>
      <w:r w:rsidR="00E44499">
        <w:t>milyar</w:t>
      </w:r>
      <w:r w:rsidR="006E7CD2" w:rsidRPr="009C3D5A">
        <w:t xml:space="preserve"> dolar ile </w:t>
      </w:r>
      <w:r w:rsidR="006006DA">
        <w:t>ABD</w:t>
      </w:r>
      <w:r w:rsidR="00955246" w:rsidRPr="009C3D5A">
        <w:t xml:space="preserve"> ve</w:t>
      </w:r>
      <w:r w:rsidR="006E7CD2" w:rsidRPr="009C3D5A">
        <w:t xml:space="preserve"> </w:t>
      </w:r>
      <w:r w:rsidR="00E44499">
        <w:t>0,81 milyar</w:t>
      </w:r>
      <w:r w:rsidR="006E7CD2" w:rsidRPr="009C3D5A">
        <w:t xml:space="preserve"> dolar ile</w:t>
      </w:r>
      <w:r w:rsidR="006D5432" w:rsidRPr="009C3D5A">
        <w:t xml:space="preserve"> </w:t>
      </w:r>
      <w:r w:rsidR="00E44499">
        <w:t>İngiltere</w:t>
      </w:r>
      <w:r w:rsidR="00955246" w:rsidRPr="009C3D5A">
        <w:t xml:space="preserve"> takip etmektedir. İth</w:t>
      </w:r>
      <w:r w:rsidR="006006DA">
        <w:t>alatta ise Çin lider konumdadır.</w:t>
      </w:r>
      <w:r w:rsidR="00E44499">
        <w:t xml:space="preserve"> Türkiye’nin 2017</w:t>
      </w:r>
      <w:r w:rsidR="006D5432" w:rsidRPr="009C3D5A">
        <w:t xml:space="preserve"> </w:t>
      </w:r>
      <w:r w:rsidR="00E44499">
        <w:t>Haziran</w:t>
      </w:r>
      <w:r w:rsidR="00955246" w:rsidRPr="009C3D5A">
        <w:t xml:space="preserve"> ayında Çin’den yaptığı ithalat </w:t>
      </w:r>
      <w:r w:rsidR="00501781">
        <w:t>1,9</w:t>
      </w:r>
      <w:r w:rsidR="00E44499">
        <w:t>2 milyar</w:t>
      </w:r>
      <w:r w:rsidR="00955246" w:rsidRPr="009C3D5A">
        <w:t xml:space="preserve"> dolar olup Çin’i sırası ile </w:t>
      </w:r>
      <w:r w:rsidR="006D5432" w:rsidRPr="009C3D5A">
        <w:t>1,</w:t>
      </w:r>
      <w:r w:rsidR="00E44499">
        <w:t>64</w:t>
      </w:r>
      <w:r w:rsidR="003D0EA9" w:rsidRPr="009C3D5A">
        <w:t xml:space="preserve"> milyar dolar ile </w:t>
      </w:r>
      <w:r w:rsidR="00501781">
        <w:t>Almanya</w:t>
      </w:r>
      <w:r w:rsidR="00955246" w:rsidRPr="009C3D5A">
        <w:t xml:space="preserve">, </w:t>
      </w:r>
      <w:r w:rsidR="006D5432" w:rsidRPr="009C3D5A">
        <w:t>1,</w:t>
      </w:r>
      <w:r w:rsidR="00E44499">
        <w:t>39</w:t>
      </w:r>
      <w:r w:rsidR="003D0EA9" w:rsidRPr="009C3D5A">
        <w:t xml:space="preserve"> milyar dolar ile </w:t>
      </w:r>
      <w:r w:rsidR="00501781">
        <w:t>Rusya</w:t>
      </w:r>
      <w:r w:rsidR="00E44499">
        <w:t xml:space="preserve"> ve 1,06</w:t>
      </w:r>
      <w:r w:rsidR="006006DA">
        <w:t xml:space="preserve"> milyar</w:t>
      </w:r>
      <w:r w:rsidR="003D0EA9" w:rsidRPr="009C3D5A">
        <w:t xml:space="preserve"> dolar ile </w:t>
      </w:r>
      <w:r>
        <w:t>ABD</w:t>
      </w:r>
      <w:r w:rsidR="00955246" w:rsidRPr="009C3D5A">
        <w:t xml:space="preserve"> takip etmektedir. </w:t>
      </w:r>
    </w:p>
    <w:p w:rsidR="00D074EA" w:rsidRPr="00D074EA" w:rsidRDefault="00D074EA" w:rsidP="00D074EA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E44499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408B">
        <w:rPr>
          <w:rFonts w:eastAsia="Times New Roman" w:cs="Times New Roman"/>
          <w:b/>
          <w:bCs/>
          <w:kern w:val="36"/>
          <w:sz w:val="24"/>
          <w:szCs w:val="24"/>
        </w:rPr>
        <w:t>dış ticaret, milyar $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20408B">
        <w:rPr>
          <w:rFonts w:eastAsia="Times New Roman" w:cs="Times New Roman"/>
          <w:b/>
          <w:bCs/>
          <w:kern w:val="36"/>
          <w:sz w:val="24"/>
          <w:szCs w:val="24"/>
        </w:rPr>
        <w:t>Haziran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7513"/>
        <w:gridCol w:w="1134"/>
      </w:tblGrid>
      <w:tr w:rsidR="0020408B" w:rsidRPr="0020408B" w:rsidTr="0020408B">
        <w:trPr>
          <w:trHeight w:val="251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SITC</w:t>
            </w:r>
          </w:p>
        </w:tc>
        <w:tc>
          <w:tcPr>
            <w:tcW w:w="7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SITC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adı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Motorlu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kara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taşıtları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bisiklet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motosikletler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bunların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aksam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parçası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2,09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Giyim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eşyası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bunların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aksesuarları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1,23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Teksitil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ürünleri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(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iplik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kumaş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kaplamaları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hazır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eşya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0,94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Demir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çelik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0,75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Elektrik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makinaları,cihazları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aletleri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vb.aksam,parçaları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0,74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97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Altın,parasal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olmayan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(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altın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madeni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konsantreleri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hariç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0,65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89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Başka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yerde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belirtilmeyen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çeşitli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mamül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eşyalar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0,59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69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Demir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çelik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bakır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nikel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aluminyum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diğer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adi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metallerden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eşya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0,51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Demir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deniz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havayolu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taşıtları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ile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bunların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aksam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parçaları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0,50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Meyve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sebzeler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0,48</w:t>
            </w:r>
          </w:p>
        </w:tc>
      </w:tr>
      <w:tr w:rsidR="0020408B" w:rsidRPr="0020408B" w:rsidTr="0020408B">
        <w:trPr>
          <w:trHeight w:val="25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13,17</w:t>
            </w:r>
          </w:p>
        </w:tc>
      </w:tr>
    </w:tbl>
    <w:p w:rsidR="009E6645" w:rsidRDefault="009E6645" w:rsidP="00E27E57">
      <w:pPr>
        <w:jc w:val="both"/>
      </w:pPr>
    </w:p>
    <w:p w:rsidR="0020408B" w:rsidRDefault="0020408B" w:rsidP="00E27E57">
      <w:pPr>
        <w:jc w:val="both"/>
      </w:pPr>
    </w:p>
    <w:p w:rsidR="0020408B" w:rsidRDefault="0020408B" w:rsidP="00E27E57">
      <w:pPr>
        <w:jc w:val="both"/>
      </w:pPr>
    </w:p>
    <w:p w:rsidR="0020408B" w:rsidRDefault="0020408B" w:rsidP="00E27E57">
      <w:pPr>
        <w:jc w:val="both"/>
      </w:pPr>
    </w:p>
    <w:p w:rsidR="0020408B" w:rsidRDefault="0020408B" w:rsidP="00E27E57">
      <w:pPr>
        <w:jc w:val="both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7513"/>
        <w:gridCol w:w="1134"/>
      </w:tblGrid>
      <w:tr w:rsidR="0020408B" w:rsidRPr="0020408B" w:rsidTr="0020408B">
        <w:trPr>
          <w:trHeight w:val="288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lastRenderedPageBreak/>
              <w:t>SITC</w:t>
            </w:r>
          </w:p>
        </w:tc>
        <w:tc>
          <w:tcPr>
            <w:tcW w:w="75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SITC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adı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97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Altın,parasal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olmayan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(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altın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madeni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konsantreleri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hariç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1,99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Motorlu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kara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taşıtları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bisiklet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motosikletler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bunların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aksam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parçası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1,46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Gizli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veri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1,37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Elektrik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makinaları,cihazları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aletleri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vb.aksam,parçaları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1,02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Demir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çelik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0,90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Diğer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genel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endüstri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makina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/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cihazların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aksamları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0,85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57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İlk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şekillerde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plastikler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0,85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Petrol,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petrolden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elde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edilen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ürünler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0,79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Güç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üreten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makineler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ve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araçlar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0,67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79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Demir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deniz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havayolu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taşıtları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ile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bunların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aksam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,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parçaları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0,62</w:t>
            </w:r>
          </w:p>
        </w:tc>
      </w:tr>
      <w:tr w:rsidR="0020408B" w:rsidRPr="0020408B" w:rsidTr="0020408B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19,18</w:t>
            </w:r>
          </w:p>
        </w:tc>
      </w:tr>
    </w:tbl>
    <w:p w:rsidR="00B61CAE" w:rsidRPr="009C3D5A" w:rsidRDefault="00B61CAE" w:rsidP="00047CE7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4E7AA7" w:rsidRPr="00207D30" w:rsidRDefault="004E7AA7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B61CAE" w:rsidRDefault="00B61CAE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D074EA" w:rsidRDefault="00D074EA" w:rsidP="00D074EA">
      <w:pPr>
        <w:jc w:val="both"/>
      </w:pPr>
      <w:r>
        <w:t>2017</w:t>
      </w:r>
      <w:r w:rsidRPr="009C3D5A">
        <w:t xml:space="preserve"> </w:t>
      </w:r>
      <w:r w:rsidR="0020408B">
        <w:t>Haziran ayında</w:t>
      </w:r>
      <w:r w:rsidR="00F073B5">
        <w:t xml:space="preserve"> </w:t>
      </w:r>
      <w:proofErr w:type="spellStart"/>
      <w:r w:rsidR="00F073B5">
        <w:t>sektörel</w:t>
      </w:r>
      <w:proofErr w:type="spellEnd"/>
      <w:r w:rsidR="00F073B5">
        <w:t xml:space="preserve"> ihracatta ilk sırayı</w:t>
      </w:r>
      <w:r w:rsidR="0020408B">
        <w:t xml:space="preserve"> 2,09</w:t>
      </w:r>
      <w:r w:rsidR="00F073B5">
        <w:t xml:space="preserve"> milyar dolar ile</w:t>
      </w:r>
      <w:r w:rsidRPr="009C3D5A">
        <w:t xml:space="preserve"> </w:t>
      </w:r>
      <w:r>
        <w:t>m</w:t>
      </w:r>
      <w:r w:rsidRPr="009E6645">
        <w:t>oto</w:t>
      </w:r>
      <w:r>
        <w:t>rlu kara taşıtları, bisiklet ve</w:t>
      </w:r>
      <w:r w:rsidRPr="009E6645">
        <w:t xml:space="preserve"> motosikletler, bunların aksam ve parçası </w:t>
      </w:r>
      <w:r w:rsidR="00F073B5">
        <w:t>almaktadır</w:t>
      </w:r>
      <w:r w:rsidRPr="009C3D5A">
        <w:t xml:space="preserve">. Sektörü </w:t>
      </w:r>
      <w:r>
        <w:t>1,2</w:t>
      </w:r>
      <w:r w:rsidR="0020408B">
        <w:t>3</w:t>
      </w:r>
      <w:r w:rsidRPr="009C3D5A">
        <w:t xml:space="preserve"> milyar dolar ile </w:t>
      </w:r>
      <w:r>
        <w:t>g</w:t>
      </w:r>
      <w:r w:rsidRPr="009E6645">
        <w:t>iyim eşyası ve bunların aksesuarları</w:t>
      </w:r>
      <w:r>
        <w:t xml:space="preserve"> </w:t>
      </w:r>
      <w:r w:rsidRPr="009C3D5A">
        <w:t xml:space="preserve">ve </w:t>
      </w:r>
      <w:r w:rsidR="004E5669">
        <w:t>0,94 milyar</w:t>
      </w:r>
      <w:r w:rsidRPr="009C3D5A">
        <w:t xml:space="preserve"> dolar ile </w:t>
      </w:r>
      <w:r>
        <w:t>teksti</w:t>
      </w:r>
      <w:r w:rsidR="008D17ED">
        <w:t>l</w:t>
      </w:r>
      <w:r>
        <w:t xml:space="preserve"> ürünleri (iplik, kumaş, yer kaplamaları, hazır eşya)</w:t>
      </w:r>
      <w:r w:rsidRPr="009C3D5A">
        <w:t xml:space="preserve"> ihracatı takip etmektedir. İthalatta ise </w:t>
      </w:r>
      <w:r w:rsidR="004E5669">
        <w:t>ilk sırayı 1,99</w:t>
      </w:r>
      <w:r w:rsidR="00F073B5">
        <w:t xml:space="preserve"> milyar dolarlık ithalat</w:t>
      </w:r>
      <w:r w:rsidRPr="009C3D5A">
        <w:t xml:space="preserve"> ile </w:t>
      </w:r>
      <w:r>
        <w:t>a</w:t>
      </w:r>
      <w:r w:rsidRPr="009E6645">
        <w:t>ltın,</w:t>
      </w:r>
      <w:r w:rsidR="008D17ED">
        <w:t xml:space="preserve"> </w:t>
      </w:r>
      <w:r w:rsidRPr="009E6645">
        <w:t xml:space="preserve">parasal olmayan (altın madeni ve </w:t>
      </w:r>
      <w:proofErr w:type="gramStart"/>
      <w:r w:rsidRPr="009E6645">
        <w:t>konsantreleri</w:t>
      </w:r>
      <w:proofErr w:type="gramEnd"/>
      <w:r w:rsidRPr="009E6645">
        <w:t xml:space="preserve"> hariç)</w:t>
      </w:r>
      <w:r w:rsidR="004E5669">
        <w:t xml:space="preserve"> alırken</w:t>
      </w:r>
      <w:r w:rsidR="00754E1C">
        <w:t>;</w:t>
      </w:r>
      <w:r w:rsidR="004E5669">
        <w:t xml:space="preserve"> onu 1,46</w:t>
      </w:r>
      <w:r w:rsidR="008D17ED">
        <w:t xml:space="preserve"> milyar dolar</w:t>
      </w:r>
      <w:r w:rsidR="004E5669">
        <w:t xml:space="preserve"> ile</w:t>
      </w:r>
      <w:r w:rsidRPr="009C3D5A">
        <w:t xml:space="preserve"> </w:t>
      </w:r>
      <w:r w:rsidR="004E5669">
        <w:t>m</w:t>
      </w:r>
      <w:r w:rsidR="004E5669" w:rsidRPr="002117E9">
        <w:t>otorlu kara taşıtları, bisiklet ver motosikletler, bunların aksam ve parçası</w:t>
      </w:r>
      <w:r w:rsidR="004E5669" w:rsidRPr="002117E9">
        <w:t xml:space="preserve"> </w:t>
      </w:r>
      <w:r w:rsidR="004E5669">
        <w:t xml:space="preserve">ve 1,37 milyar dolar ile </w:t>
      </w:r>
      <w:r w:rsidRPr="002117E9">
        <w:t>aç</w:t>
      </w:r>
      <w:r>
        <w:t xml:space="preserve">ıklanmayan (Gizli veri) takip </w:t>
      </w:r>
      <w:r w:rsidRPr="009C3D5A">
        <w:t xml:space="preserve">etmektedir. </w:t>
      </w:r>
    </w:p>
    <w:p w:rsidR="00207D30" w:rsidRPr="00207D30" w:rsidRDefault="00207D30" w:rsidP="00207D30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</w:t>
      </w:r>
      <w:bookmarkStart w:id="0" w:name="_GoBack"/>
      <w:bookmarkEnd w:id="0"/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</w:t>
      </w:r>
      <w:r w:rsidR="0020408B">
        <w:rPr>
          <w:rFonts w:eastAsia="Times New Roman" w:cs="Times New Roman"/>
          <w:b/>
          <w:bCs/>
          <w:kern w:val="36"/>
          <w:sz w:val="24"/>
          <w:szCs w:val="24"/>
        </w:rPr>
        <w:t xml:space="preserve"> için teknoloji yoğunluğu, milyar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4E5669">
        <w:rPr>
          <w:rFonts w:eastAsia="Times New Roman" w:cs="Times New Roman"/>
          <w:b/>
          <w:bCs/>
          <w:kern w:val="36"/>
          <w:sz w:val="24"/>
          <w:szCs w:val="24"/>
        </w:rPr>
        <w:t>Haziran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568"/>
        <w:gridCol w:w="2256"/>
        <w:gridCol w:w="2256"/>
      </w:tblGrid>
      <w:tr w:rsidR="0020408B" w:rsidRPr="0020408B" w:rsidTr="00F073B5">
        <w:trPr>
          <w:trHeight w:val="259"/>
        </w:trPr>
        <w:tc>
          <w:tcPr>
            <w:tcW w:w="4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20408B" w:rsidRPr="0020408B" w:rsidTr="00F073B5">
        <w:trPr>
          <w:trHeight w:val="259"/>
        </w:trPr>
        <w:tc>
          <w:tcPr>
            <w:tcW w:w="45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12,45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20408B" w:rsidRPr="0020408B" w:rsidTr="00F073B5">
        <w:trPr>
          <w:trHeight w:val="259"/>
        </w:trPr>
        <w:tc>
          <w:tcPr>
            <w:tcW w:w="45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0,69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5,5</w:t>
            </w:r>
          </w:p>
        </w:tc>
      </w:tr>
      <w:tr w:rsidR="0020408B" w:rsidRPr="0020408B" w:rsidTr="00F073B5">
        <w:trPr>
          <w:trHeight w:val="259"/>
        </w:trPr>
        <w:tc>
          <w:tcPr>
            <w:tcW w:w="45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4,37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35,1</w:t>
            </w:r>
          </w:p>
        </w:tc>
      </w:tr>
      <w:tr w:rsidR="0020408B" w:rsidRPr="0020408B" w:rsidTr="00F073B5">
        <w:trPr>
          <w:trHeight w:val="259"/>
        </w:trPr>
        <w:tc>
          <w:tcPr>
            <w:tcW w:w="45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3,51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28,2</w:t>
            </w:r>
          </w:p>
        </w:tc>
      </w:tr>
      <w:tr w:rsidR="0020408B" w:rsidRPr="0020408B" w:rsidTr="00F073B5">
        <w:trPr>
          <w:trHeight w:val="259"/>
        </w:trPr>
        <w:tc>
          <w:tcPr>
            <w:tcW w:w="456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3,88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31,2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9049" w:type="dxa"/>
        <w:tblInd w:w="93" w:type="dxa"/>
        <w:tblLook w:val="04A0" w:firstRow="1" w:lastRow="0" w:firstColumn="1" w:lastColumn="0" w:noHBand="0" w:noVBand="1"/>
      </w:tblPr>
      <w:tblGrid>
        <w:gridCol w:w="4553"/>
        <w:gridCol w:w="2248"/>
        <w:gridCol w:w="2248"/>
      </w:tblGrid>
      <w:tr w:rsidR="00F073B5" w:rsidRPr="0020408B" w:rsidTr="00F073B5">
        <w:trPr>
          <w:trHeight w:val="284"/>
        </w:trPr>
        <w:tc>
          <w:tcPr>
            <w:tcW w:w="4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F073B5" w:rsidRPr="0020408B" w:rsidTr="00F073B5">
        <w:trPr>
          <w:trHeight w:val="284"/>
        </w:trPr>
        <w:tc>
          <w:tcPr>
            <w:tcW w:w="45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16,11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F073B5" w:rsidRPr="0020408B" w:rsidTr="00F073B5">
        <w:trPr>
          <w:trHeight w:val="284"/>
        </w:trPr>
        <w:tc>
          <w:tcPr>
            <w:tcW w:w="45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2,25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13,9</w:t>
            </w:r>
          </w:p>
        </w:tc>
      </w:tr>
      <w:tr w:rsidR="00F073B5" w:rsidRPr="0020408B" w:rsidTr="00F073B5">
        <w:trPr>
          <w:trHeight w:val="284"/>
        </w:trPr>
        <w:tc>
          <w:tcPr>
            <w:tcW w:w="45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6,50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40,4</w:t>
            </w:r>
          </w:p>
        </w:tc>
      </w:tr>
      <w:tr w:rsidR="00F073B5" w:rsidRPr="0020408B" w:rsidTr="00F073B5">
        <w:trPr>
          <w:trHeight w:val="284"/>
        </w:trPr>
        <w:tc>
          <w:tcPr>
            <w:tcW w:w="45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5,66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35,1</w:t>
            </w:r>
          </w:p>
        </w:tc>
      </w:tr>
      <w:tr w:rsidR="00F073B5" w:rsidRPr="0020408B" w:rsidTr="00F073B5">
        <w:trPr>
          <w:trHeight w:val="284"/>
        </w:trPr>
        <w:tc>
          <w:tcPr>
            <w:tcW w:w="45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20408B" w:rsidRPr="0020408B" w:rsidRDefault="0020408B" w:rsidP="00204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20408B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1,70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08B" w:rsidRPr="0020408B" w:rsidRDefault="0020408B" w:rsidP="004E5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20408B">
              <w:rPr>
                <w:rFonts w:ascii="Calibri" w:eastAsia="Times New Roman" w:hAnsi="Calibri" w:cs="Calibri"/>
                <w:color w:val="000000"/>
                <w:lang w:val="en-US" w:eastAsia="en-US"/>
              </w:rPr>
              <w:t>10,6</w:t>
            </w:r>
          </w:p>
        </w:tc>
      </w:tr>
    </w:tbl>
    <w:p w:rsidR="0020408B" w:rsidRDefault="0020408B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284EE7">
        <w:t xml:space="preserve"> 2017</w:t>
      </w:r>
      <w:r w:rsidRPr="009C3D5A">
        <w:t xml:space="preserve"> </w:t>
      </w:r>
      <w:r w:rsidR="004E5669">
        <w:t>Haziran</w:t>
      </w:r>
      <w:r w:rsidR="007C155D" w:rsidRPr="009C3D5A">
        <w:t xml:space="preserve"> ayında </w:t>
      </w:r>
      <w:r w:rsidRPr="009C3D5A">
        <w:t>imalat sanayi ürünlerinin toplam ihracattaki payı yüzde 94</w:t>
      </w:r>
      <w:r w:rsidR="004E5669">
        <w:t>,6</w:t>
      </w:r>
      <w:r w:rsidRPr="009C3D5A">
        <w:t xml:space="preserve"> olup, </w:t>
      </w:r>
      <w:r w:rsidR="00C1467F">
        <w:t>yüksek</w:t>
      </w:r>
      <w:r w:rsidRPr="009C3D5A">
        <w:t xml:space="preserve"> teknoloji</w:t>
      </w:r>
      <w:r w:rsidR="00C1467F">
        <w:t>li</w:t>
      </w:r>
      <w:r w:rsidRPr="009C3D5A">
        <w:t xml:space="preserve"> ürünlerinin imalat sanayi </w:t>
      </w:r>
      <w:r w:rsidR="00D074EA">
        <w:t>ihracatı içindeki payı yüzde 5</w:t>
      </w:r>
      <w:r w:rsidR="007C155D" w:rsidRPr="009C3D5A">
        <w:t>,</w:t>
      </w:r>
      <w:r w:rsidR="004E5669">
        <w:t>5</w:t>
      </w:r>
      <w:r w:rsidRPr="009C3D5A">
        <w:t xml:space="preserve">,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4E5669">
        <w:t>35,1’</w:t>
      </w:r>
      <w:r w:rsidR="00F073B5">
        <w:t>di</w:t>
      </w:r>
      <w:r w:rsidR="00C1467F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D074EA">
        <w:t>nayi ürünlerinin pay</w:t>
      </w:r>
      <w:r w:rsidR="004E5669">
        <w:t>ı yüzde 84</w:t>
      </w:r>
      <w:r w:rsidR="00E27E57" w:rsidRPr="009C3D5A">
        <w:t xml:space="preserve"> olup,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ürünlerinin imalat sanayi ürünle</w:t>
      </w:r>
      <w:r w:rsidR="00C1467F">
        <w:t>ri it</w:t>
      </w:r>
      <w:r w:rsidR="00D074EA">
        <w:t>halatındaki payı yüzde 13,</w:t>
      </w:r>
      <w:r w:rsidR="004E5669">
        <w:t>9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C1467F">
        <w:t>li ürünlerin payı ise yüzde 4</w:t>
      </w:r>
      <w:r w:rsidR="00D074EA">
        <w:t>0,</w:t>
      </w:r>
      <w:r w:rsidR="004E5669">
        <w:t>4</w:t>
      </w:r>
      <w:r w:rsidR="00C1467F">
        <w:t>’tür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02" w:rsidRDefault="00726402" w:rsidP="00F43AC2">
      <w:pPr>
        <w:spacing w:after="0" w:line="240" w:lineRule="auto"/>
      </w:pPr>
      <w:r>
        <w:separator/>
      </w:r>
    </w:p>
  </w:endnote>
  <w:endnote w:type="continuationSeparator" w:id="0">
    <w:p w:rsidR="00726402" w:rsidRDefault="00726402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3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02" w:rsidRDefault="00726402" w:rsidP="00F43AC2">
      <w:pPr>
        <w:spacing w:after="0" w:line="240" w:lineRule="auto"/>
      </w:pPr>
      <w:r>
        <w:separator/>
      </w:r>
    </w:p>
  </w:footnote>
  <w:footnote w:type="continuationSeparator" w:id="0">
    <w:p w:rsidR="00726402" w:rsidRDefault="00726402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D01"/>
    <w:rsid w:val="00024004"/>
    <w:rsid w:val="00024E59"/>
    <w:rsid w:val="00030B38"/>
    <w:rsid w:val="00034A51"/>
    <w:rsid w:val="00047CE7"/>
    <w:rsid w:val="00066999"/>
    <w:rsid w:val="00095CBC"/>
    <w:rsid w:val="000A0527"/>
    <w:rsid w:val="000B0F76"/>
    <w:rsid w:val="000E09A3"/>
    <w:rsid w:val="00134344"/>
    <w:rsid w:val="001B69AC"/>
    <w:rsid w:val="001F5C25"/>
    <w:rsid w:val="0020408B"/>
    <w:rsid w:val="00207D30"/>
    <w:rsid w:val="002117E9"/>
    <w:rsid w:val="002157EE"/>
    <w:rsid w:val="0023568E"/>
    <w:rsid w:val="00240215"/>
    <w:rsid w:val="00254707"/>
    <w:rsid w:val="00270B23"/>
    <w:rsid w:val="00273DDB"/>
    <w:rsid w:val="00284EE7"/>
    <w:rsid w:val="0029300F"/>
    <w:rsid w:val="002B628C"/>
    <w:rsid w:val="002B763F"/>
    <w:rsid w:val="002E6E48"/>
    <w:rsid w:val="00314005"/>
    <w:rsid w:val="003367F9"/>
    <w:rsid w:val="003D0EA9"/>
    <w:rsid w:val="003F4E66"/>
    <w:rsid w:val="003F4F3D"/>
    <w:rsid w:val="00412B6A"/>
    <w:rsid w:val="00421039"/>
    <w:rsid w:val="00423435"/>
    <w:rsid w:val="004602F8"/>
    <w:rsid w:val="00466EE8"/>
    <w:rsid w:val="00472AF7"/>
    <w:rsid w:val="0048257F"/>
    <w:rsid w:val="004D49AB"/>
    <w:rsid w:val="004E0C1E"/>
    <w:rsid w:val="004E5669"/>
    <w:rsid w:val="004E7AA7"/>
    <w:rsid w:val="004F0E9E"/>
    <w:rsid w:val="00501781"/>
    <w:rsid w:val="005A735F"/>
    <w:rsid w:val="005C1EF8"/>
    <w:rsid w:val="005D6CB6"/>
    <w:rsid w:val="006006DA"/>
    <w:rsid w:val="0060716F"/>
    <w:rsid w:val="00635D39"/>
    <w:rsid w:val="006538E8"/>
    <w:rsid w:val="00672626"/>
    <w:rsid w:val="00676E49"/>
    <w:rsid w:val="006864AB"/>
    <w:rsid w:val="006A09A3"/>
    <w:rsid w:val="006C1C96"/>
    <w:rsid w:val="006D5432"/>
    <w:rsid w:val="006E3C93"/>
    <w:rsid w:val="006E7CD2"/>
    <w:rsid w:val="00726402"/>
    <w:rsid w:val="00754E1C"/>
    <w:rsid w:val="00764636"/>
    <w:rsid w:val="00790C7B"/>
    <w:rsid w:val="007C155D"/>
    <w:rsid w:val="007F367A"/>
    <w:rsid w:val="007F50E4"/>
    <w:rsid w:val="00820484"/>
    <w:rsid w:val="00831B3B"/>
    <w:rsid w:val="00847FC9"/>
    <w:rsid w:val="00867C71"/>
    <w:rsid w:val="00886790"/>
    <w:rsid w:val="00890E8A"/>
    <w:rsid w:val="008A1816"/>
    <w:rsid w:val="008B246F"/>
    <w:rsid w:val="008C5EF1"/>
    <w:rsid w:val="008D17ED"/>
    <w:rsid w:val="008F7528"/>
    <w:rsid w:val="009435E7"/>
    <w:rsid w:val="0094521C"/>
    <w:rsid w:val="0095258A"/>
    <w:rsid w:val="00955246"/>
    <w:rsid w:val="0097055D"/>
    <w:rsid w:val="009C3D5A"/>
    <w:rsid w:val="009E6645"/>
    <w:rsid w:val="00A13941"/>
    <w:rsid w:val="00A2009E"/>
    <w:rsid w:val="00A62888"/>
    <w:rsid w:val="00A6670C"/>
    <w:rsid w:val="00A86AF1"/>
    <w:rsid w:val="00A9435C"/>
    <w:rsid w:val="00AD0031"/>
    <w:rsid w:val="00AD00C3"/>
    <w:rsid w:val="00AF5794"/>
    <w:rsid w:val="00B1525D"/>
    <w:rsid w:val="00B15E4C"/>
    <w:rsid w:val="00B27572"/>
    <w:rsid w:val="00B61CAE"/>
    <w:rsid w:val="00B772CF"/>
    <w:rsid w:val="00B77C4F"/>
    <w:rsid w:val="00B861B5"/>
    <w:rsid w:val="00BB3701"/>
    <w:rsid w:val="00BC608C"/>
    <w:rsid w:val="00BE5094"/>
    <w:rsid w:val="00BF70F9"/>
    <w:rsid w:val="00C13B06"/>
    <w:rsid w:val="00C1467F"/>
    <w:rsid w:val="00C1695B"/>
    <w:rsid w:val="00C21BFE"/>
    <w:rsid w:val="00C7379E"/>
    <w:rsid w:val="00CA31BE"/>
    <w:rsid w:val="00CB0A4D"/>
    <w:rsid w:val="00CC376F"/>
    <w:rsid w:val="00CE5130"/>
    <w:rsid w:val="00CE7503"/>
    <w:rsid w:val="00D074EA"/>
    <w:rsid w:val="00D07D01"/>
    <w:rsid w:val="00D61B49"/>
    <w:rsid w:val="00D80CC9"/>
    <w:rsid w:val="00DB20D7"/>
    <w:rsid w:val="00DB359A"/>
    <w:rsid w:val="00DC15D2"/>
    <w:rsid w:val="00DC5CA2"/>
    <w:rsid w:val="00DD6AA5"/>
    <w:rsid w:val="00E07918"/>
    <w:rsid w:val="00E20164"/>
    <w:rsid w:val="00E27E57"/>
    <w:rsid w:val="00E34DEB"/>
    <w:rsid w:val="00E44499"/>
    <w:rsid w:val="00E551E6"/>
    <w:rsid w:val="00E83CB2"/>
    <w:rsid w:val="00E86C2E"/>
    <w:rsid w:val="00E92FFF"/>
    <w:rsid w:val="00EB3D95"/>
    <w:rsid w:val="00F073B5"/>
    <w:rsid w:val="00F11B62"/>
    <w:rsid w:val="00F3379C"/>
    <w:rsid w:val="00F43AC2"/>
    <w:rsid w:val="00F93EBD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004364429896344E-2"/>
          <c:y val="0"/>
          <c:w val="0.95199127114020732"/>
          <c:h val="0.607712662966309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x_im!$O$23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801801801801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6442989634478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801801801801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x_im!$N$24:$N$35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x_im!$O$24:$O$35</c:f>
              <c:numCache>
                <c:formatCode>0.00</c:formatCode>
                <c:ptCount val="12"/>
                <c:pt idx="0">
                  <c:v>9.5461153999999997</c:v>
                </c:pt>
                <c:pt idx="1">
                  <c:v>12.366388057</c:v>
                </c:pt>
                <c:pt idx="2">
                  <c:v>12.757672093</c:v>
                </c:pt>
                <c:pt idx="3">
                  <c:v>11.950497685</c:v>
                </c:pt>
                <c:pt idx="4">
                  <c:v>12.098611067</c:v>
                </c:pt>
                <c:pt idx="5">
                  <c:v>12.864154060000001</c:v>
                </c:pt>
                <c:pt idx="6">
                  <c:v>9.8501248720000003</c:v>
                </c:pt>
                <c:pt idx="7">
                  <c:v>11.83076282</c:v>
                </c:pt>
                <c:pt idx="8">
                  <c:v>10.901638452</c:v>
                </c:pt>
                <c:pt idx="9">
                  <c:v>12.79615991</c:v>
                </c:pt>
                <c:pt idx="10">
                  <c:v>12.786936247</c:v>
                </c:pt>
                <c:pt idx="11">
                  <c:v>12.780523145</c:v>
                </c:pt>
              </c:numCache>
            </c:numRef>
          </c:val>
        </c:ser>
        <c:ser>
          <c:idx val="1"/>
          <c:order val="1"/>
          <c:tx>
            <c:strRef>
              <c:f>x_im!$P$23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1.201201201201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801801801801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02402402402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x_im!$N$24:$N$35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x_im!$P$24:$P$35</c:f>
              <c:numCache>
                <c:formatCode>0.00</c:formatCode>
                <c:ptCount val="12"/>
                <c:pt idx="0">
                  <c:v>11.251722676000002</c:v>
                </c:pt>
                <c:pt idx="1">
                  <c:v>12.094241823000001</c:v>
                </c:pt>
                <c:pt idx="2">
                  <c:v>14.477333732</c:v>
                </c:pt>
                <c:pt idx="3">
                  <c:v>12.866990414</c:v>
                </c:pt>
                <c:pt idx="4">
                  <c:v>13.596566023999999</c:v>
                </c:pt>
                <c:pt idx="5">
                  <c:v>13.165737053999999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2299264"/>
        <c:axId val="255418752"/>
      </c:barChart>
      <c:catAx>
        <c:axId val="2422992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55418752"/>
        <c:crosses val="autoZero"/>
        <c:auto val="1"/>
        <c:lblAlgn val="ctr"/>
        <c:lblOffset val="100"/>
        <c:noMultiLvlLbl val="0"/>
      </c:catAx>
      <c:valAx>
        <c:axId val="255418752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242299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004364429896344E-2"/>
          <c:y val="6.1366806136680614E-2"/>
          <c:w val="0.95199127114020732"/>
          <c:h val="0.561926223657189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x_im!$S$23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-2.7894002789400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x_im!$R$24:$R$35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x_im!$S$24:$S$35</c:f>
              <c:numCache>
                <c:formatCode>0.00</c:formatCode>
                <c:ptCount val="12"/>
                <c:pt idx="0">
                  <c:v>13.452704617</c:v>
                </c:pt>
                <c:pt idx="1">
                  <c:v>15.578255076</c:v>
                </c:pt>
                <c:pt idx="2">
                  <c:v>17.766239356</c:v>
                </c:pt>
                <c:pt idx="3">
                  <c:v>16.187635374999999</c:v>
                </c:pt>
                <c:pt idx="4">
                  <c:v>17.196657045000002</c:v>
                </c:pt>
                <c:pt idx="5">
                  <c:v>19.476281695000001</c:v>
                </c:pt>
                <c:pt idx="6">
                  <c:v>14.694996423000001</c:v>
                </c:pt>
                <c:pt idx="7">
                  <c:v>16.614181203000001</c:v>
                </c:pt>
                <c:pt idx="8">
                  <c:v>15.297881163000001</c:v>
                </c:pt>
                <c:pt idx="9">
                  <c:v>17.008614931</c:v>
                </c:pt>
                <c:pt idx="10">
                  <c:v>16.934532449999999</c:v>
                </c:pt>
                <c:pt idx="11">
                  <c:v>18.410255712999998</c:v>
                </c:pt>
              </c:numCache>
            </c:numRef>
          </c:val>
        </c:ser>
        <c:ser>
          <c:idx val="1"/>
          <c:order val="1"/>
          <c:tx>
            <c:strRef>
              <c:f>x_im!$T$23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2.7894002789400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1157601115760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x_im!$R$24:$R$35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x_im!$T$24:$T$35</c:f>
              <c:numCache>
                <c:formatCode>0.00</c:formatCode>
                <c:ptCount val="12"/>
                <c:pt idx="0">
                  <c:v>15.591915650000001</c:v>
                </c:pt>
                <c:pt idx="1">
                  <c:v>15.82610257</c:v>
                </c:pt>
                <c:pt idx="2">
                  <c:v>19.018118112</c:v>
                </c:pt>
                <c:pt idx="3">
                  <c:v>17.787599984</c:v>
                </c:pt>
                <c:pt idx="4">
                  <c:v>20.923103877999999</c:v>
                </c:pt>
                <c:pt idx="5">
                  <c:v>19.176690675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1732736"/>
        <c:axId val="271734272"/>
      </c:barChart>
      <c:catAx>
        <c:axId val="271732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en-US"/>
          </a:p>
        </c:txPr>
        <c:crossAx val="271734272"/>
        <c:crosses val="autoZero"/>
        <c:auto val="1"/>
        <c:lblAlgn val="ctr"/>
        <c:lblOffset val="100"/>
        <c:noMultiLvlLbl val="0"/>
      </c:catAx>
      <c:valAx>
        <c:axId val="271734272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2717327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C7AE0-2795-409F-9F84-3E576D5B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Efsan</cp:lastModifiedBy>
  <cp:revision>62</cp:revision>
  <dcterms:created xsi:type="dcterms:W3CDTF">2015-10-06T11:58:00Z</dcterms:created>
  <dcterms:modified xsi:type="dcterms:W3CDTF">2017-07-31T11:57:00Z</dcterms:modified>
</cp:coreProperties>
</file>